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FB1957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957" w:rsidRPr="00FB1957" w:rsidRDefault="00FB1957" w:rsidP="00FB1957">
            <w:pPr>
              <w:autoSpaceDE/>
              <w:autoSpaceDN/>
              <w:adjustRightInd/>
              <w:spacing w:before="150" w:after="150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B1957">
              <w:rPr>
                <w:rFonts w:ascii="Verdana" w:eastAsia="Times New Roman" w:hAnsi="Verdana" w:cs="Times New Roman"/>
                <w:b/>
                <w:bCs/>
                <w:color w:val="000000"/>
              </w:rPr>
              <w:t>Методологические пояснения</w:t>
            </w:r>
          </w:p>
        </w:tc>
      </w:tr>
      <w:tr w:rsidR="00711F1F" w:rsidRPr="00711F1F" w:rsidTr="00E261D0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Данные о численности рабочей силы, занятых и безработных получены по материалам выборочных обследований рабочей силы, проводившихся статистическими органами Российской Федерации, с последующим распространением итогов на всю численность населения обследуемого возраста. Обследование проводится в России с 1992г. В 1992-1994гг., 1997, 1998гг. оно проводилось 1 раз в год по состоянию на последнюю неделю октября, в 1995г. было проведено 2 обследования - на последнюю неделю марта и октября, в 1996г. - по состоянию на последнюю неделю марта; с 1999г. по август 2009г. обследование проводилось с квартальной периодичностью. С сентября 2009г. обследование переведено на месячную периодичность.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Единицами отбора являются частные домашние хозяйства; единицами наблюдения – лица в возрасте от 15 лет и старше – члены этих домашних хозяйств (до 2017 года – лица в возрасте 15-72 лет).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С января 2017 года в период каждого обследования опрашивается около 77 тыс. человек (0,06% от численности населения обследуемого возраста). По субъектам Российской Федерации применяется разная доля отбора с учетом общей численности населения и относительной вариации по показателю "уровень безработицы".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Выборка формируется на основе первичного информационного массива Всероссийской переписи населения (ВПН-2010), содержащего сведения о постоянном населении, т.е. населении, постоянно проживающем на территории соответствующего района, города, населенного пункта.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Рабочая сила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лица в возрасте 15 лет и старше, которые в рассматриваемый период (обследуемую неделю) считаются занятыми или безработными.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Занятые 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– лица в возрасте 15 лет и старше,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</w:t>
            </w:r>
            <w:proofErr w:type="gramStart"/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занятых</w:t>
            </w:r>
            <w:proofErr w:type="gramEnd"/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включаются также лица, временно отсутствовавшие на рабочем месте в течение короткого промежутка времени и сохранившие связь с рабочим местом во время отсутствия.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Безработные в соответствии с определениями МОТ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– лица в возрасте 15 лет и старше, которые в рассматриваемый период удовлетворяли одновременно следующим критериям: </w:t>
            </w:r>
          </w:p>
          <w:p w:rsidR="003E2B98" w:rsidRDefault="003E2B98" w:rsidP="003E2B98">
            <w:pPr>
              <w:autoSpaceDE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не имели работы (доходного занятия); </w:t>
            </w:r>
          </w:p>
          <w:p w:rsidR="003E2B98" w:rsidRDefault="003E2B98" w:rsidP="003E2B98">
            <w:pPr>
              <w:autoSpaceDE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занимались поиском работы в течение последних четырех недель, используя при этом любые способы; </w:t>
            </w:r>
          </w:p>
          <w:p w:rsidR="003E2B98" w:rsidRDefault="003E2B98" w:rsidP="003E2B98">
            <w:pPr>
              <w:autoSpaceDE/>
              <w:adjustRightInd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были готовы приступить к работе в течение обследуемой недели.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proofErr w:type="gramStart"/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К безработным относятся также лица, которые в рассматриваемый период не имели работы, но договорились о сроке начала работы (в течение 2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      </w:r>
            <w:proofErr w:type="gramEnd"/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При этом период ожидания ответа не должен превышать один месяц.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Обучающиеся, пенсионеры и инвалиды учитываются в качестве безработных, если они не имели работы, занимались поиском работы и были готовы приступить к ней.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Потенциальная рабочая сила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незанятые лица, которые выражают заинтересованность в получении работы за оплату или прибыль, однако сложившиеся условия ограничивают их активные поиски работы или их готовность приступить к работе.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Потенциальная рабочая сила определяется как все лица обследуемого возраста, которые в течение короткого учетного периода (неделя) не были ни занятыми, ни безработными, и при этом: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- предпринимали действия «в поисках работы», были «не готовы приступить к работе в настоящий момент», однако будут готовы приступить к работе в течение двух недель после обследуемой недели (т.е. соискатели, не готовые приступить к работе); 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- не предпринимали действий «в поисках работы», однако хотели работать и были «готовы приступить к работе в настоящий момент» (т.е. не находящиеся в поисках работы лица, потенциально готовые приступить к работе).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участия в рабочей силе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рабочей силы (занятых и безработных) определенной возрастной группы к общей численности населения соответствующей 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lastRenderedPageBreak/>
              <w:t>возрастной группы, рассчитанное в процентах.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занятости населения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занятого населения определенной возрастной группы к общей численности населения соответствующей возрастной группы, рассчитанное в процентах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Уровень безработицы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- отношение численности безработных определенной возрастной группы к численности рабочей силы (занятых и безработных) соответствующей возрастной группы, рассчитанное в процентах.</w:t>
            </w:r>
          </w:p>
          <w:p w:rsidR="003E2B98" w:rsidRDefault="003E2B98" w:rsidP="003E2B98">
            <w:pPr>
              <w:autoSpaceDE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  <w:szCs w:val="17"/>
              </w:rPr>
              <w:t>Совокупный показатель уровня безработицы и потенциальной рабочей силы</w:t>
            </w: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 xml:space="preserve"> – отношение суммы численности безработных и потенциальной рабочей силы к расширенной концепции рабочей силы, рассчитанное в процентах. Расширенная концепция рабочей силы включает в себя занятых, безработных и потенциальную рабочую силу.</w:t>
            </w:r>
          </w:p>
          <w:p w:rsidR="00711F1F" w:rsidRPr="00E261D0" w:rsidRDefault="003E2B98" w:rsidP="003E2B98">
            <w:pPr>
              <w:autoSpaceDE/>
              <w:autoSpaceDN/>
              <w:adjustRightInd/>
              <w:spacing w:before="240"/>
              <w:ind w:firstLine="227"/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Cs/>
                <w:i/>
                <w:iCs/>
                <w:color w:val="000000"/>
                <w:sz w:val="17"/>
                <w:szCs w:val="17"/>
              </w:rPr>
              <w:t>По субъектам Российской Федерации в целях повышения репрезентативности данных месячные данные обследования сформированы в среднем за 3 месяца по совокупности трех последовательных выборок. Годовые данные сформированы в среднем за 12 месяце по совокупности двенадцати последовательных выборок.</w:t>
            </w:r>
            <w:bookmarkStart w:id="0" w:name="_GoBack"/>
            <w:bookmarkEnd w:id="0"/>
          </w:p>
        </w:tc>
      </w:tr>
      <w:tr w:rsidR="00FB1957" w:rsidRPr="00711F1F" w:rsidTr="00711F1F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lastRenderedPageBreak/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sz w:val="17"/>
                      <w:szCs w:val="17"/>
                    </w:rPr>
                    <w:t>Выборочное обследование рабочей силы</w:t>
                  </w:r>
                </w:p>
              </w:tc>
            </w:tr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61D0" w:rsidRDefault="00E261D0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месячная,</w:t>
                  </w:r>
                </w:p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</w:p>
              </w:tc>
            </w:tr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261D0" w:rsidRDefault="00E261D0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месячная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 xml:space="preserve"> – на 30-34-й рабочий день после отчетного периода</w:t>
                  </w:r>
                </w:p>
                <w:p w:rsidR="00FB1957" w:rsidRPr="00E261D0" w:rsidRDefault="00E261D0" w:rsidP="00E261D0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годовая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 xml:space="preserve"> – </w:t>
                  </w:r>
                  <w:r w:rsidR="00FB1957"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25 марта</w:t>
                  </w:r>
                </w:p>
              </w:tc>
            </w:tr>
            <w:tr w:rsidR="00FB1957" w:rsidRPr="00711F1F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FB1957" w:rsidRPr="00711F1F" w:rsidRDefault="00FB1957" w:rsidP="00711F1F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 w:rsidRPr="00711F1F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B427B" w:rsidRPr="00AB427B" w:rsidRDefault="00AB427B" w:rsidP="00AB427B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</w:pPr>
                  <w:r w:rsidRPr="00AB427B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Мальцева С.И., т.8 (4112) 43-33-31</w:t>
                  </w:r>
                </w:p>
                <w:p w:rsidR="00FB1957" w:rsidRPr="00711F1F" w:rsidRDefault="00AB427B" w:rsidP="00AB427B">
                  <w:pPr>
                    <w:autoSpaceDE/>
                    <w:autoSpaceDN/>
                    <w:adjustRightInd/>
                    <w:spacing w:before="150" w:after="150"/>
                    <w:ind w:left="150" w:right="150" w:firstLine="0"/>
                    <w:jc w:val="left"/>
                    <w:rPr>
                      <w:rFonts w:ascii="Calibri" w:eastAsia="Times New Roman" w:hAnsi="Calibri" w:cs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sz w:val="17"/>
                      <w:szCs w:val="17"/>
                    </w:rPr>
                    <w:t>Сергеева Л.А.</w:t>
                  </w:r>
                </w:p>
              </w:tc>
            </w:tr>
          </w:tbl>
          <w:p w:rsidR="00FB1957" w:rsidRPr="00711F1F" w:rsidRDefault="00FB1957" w:rsidP="00711F1F">
            <w:pPr>
              <w:autoSpaceDE/>
              <w:autoSpaceDN/>
              <w:adjustRightInd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FA3252" w:rsidRPr="00711F1F" w:rsidRDefault="00711F1F" w:rsidP="00711F1F">
      <w:pPr>
        <w:autoSpaceDE/>
        <w:autoSpaceDN/>
        <w:adjustRightInd/>
        <w:spacing w:after="200" w:line="253" w:lineRule="atLeast"/>
        <w:ind w:firstLine="0"/>
        <w:jc w:val="left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11F1F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sectPr w:rsidR="00FA3252" w:rsidRPr="0071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144"/>
    <w:multiLevelType w:val="hybridMultilevel"/>
    <w:tmpl w:val="562A05B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1F"/>
    <w:rsid w:val="00087CA9"/>
    <w:rsid w:val="001349E5"/>
    <w:rsid w:val="002C29B7"/>
    <w:rsid w:val="00365550"/>
    <w:rsid w:val="003E2B98"/>
    <w:rsid w:val="004D51D8"/>
    <w:rsid w:val="004D710D"/>
    <w:rsid w:val="004F2542"/>
    <w:rsid w:val="00711F1F"/>
    <w:rsid w:val="007F60A0"/>
    <w:rsid w:val="008F517C"/>
    <w:rsid w:val="00936DDD"/>
    <w:rsid w:val="009E782C"/>
    <w:rsid w:val="00AB427B"/>
    <w:rsid w:val="00C9564A"/>
    <w:rsid w:val="00D44BF8"/>
    <w:rsid w:val="00E261D0"/>
    <w:rsid w:val="00E93AF7"/>
    <w:rsid w:val="00FA3252"/>
    <w:rsid w:val="00FA41BB"/>
    <w:rsid w:val="00FB1957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C29B7"/>
    <w:pPr>
      <w:autoSpaceDE/>
      <w:autoSpaceDN/>
      <w:adjustRightInd/>
      <w:spacing w:line="20" w:lineRule="atLeast"/>
      <w:ind w:firstLine="0"/>
      <w:jc w:val="center"/>
    </w:pPr>
    <w:rPr>
      <w:rFonts w:eastAsia="Times New Roman" w:cs="Times New Roman"/>
      <w:b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11F1F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1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Александра Олеговна</dc:creator>
  <cp:lastModifiedBy>P14_AlekseevaLA</cp:lastModifiedBy>
  <cp:revision>4</cp:revision>
  <dcterms:created xsi:type="dcterms:W3CDTF">2022-10-24T07:00:00Z</dcterms:created>
  <dcterms:modified xsi:type="dcterms:W3CDTF">2022-10-25T00:49:00Z</dcterms:modified>
</cp:coreProperties>
</file>